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rPr>
      </w:pPr>
      <w:r>
        <w:rPr>
          <w:rFonts w:hint="eastAsia"/>
          <w:sz w:val="52"/>
        </w:rPr>
        <w:t xml:space="preserve">                     </w:t>
      </w:r>
      <w:r>
        <w:rPr>
          <w:sz w:val="52"/>
        </w:rPr>
        <w:t xml:space="preserve">   </w:t>
      </w:r>
      <w:r>
        <w:rPr>
          <w:rFonts w:hint="eastAsia"/>
          <w:sz w:val="52"/>
        </w:rPr>
        <w:t xml:space="preserve">            </w:t>
      </w:r>
    </w:p>
    <w:p>
      <w:pPr>
        <w:jc w:val="center"/>
        <w:rPr>
          <w:rFonts w:hint="eastAsia"/>
          <w:sz w:val="32"/>
        </w:rPr>
      </w:pPr>
    </w:p>
    <w:p>
      <w:pPr>
        <w:jc w:val="both"/>
        <w:rPr>
          <w:rFonts w:hint="eastAsia" w:eastAsia="隶书"/>
          <w:sz w:val="84"/>
        </w:rPr>
      </w:pPr>
    </w:p>
    <w:p>
      <w:pPr>
        <w:jc w:val="center"/>
        <w:rPr>
          <w:rFonts w:hint="eastAsia" w:eastAsia="楷体_GB2312"/>
          <w:sz w:val="72"/>
        </w:rPr>
      </w:pPr>
      <w:r>
        <w:rPr>
          <w:rFonts w:hint="eastAsia"/>
          <w:sz w:val="72"/>
        </w:rPr>
        <w:t>国际货运代理协议书</w:t>
      </w:r>
    </w:p>
    <w:p>
      <w:pPr>
        <w:jc w:val="center"/>
        <w:rPr>
          <w:rFonts w:hint="eastAsia" w:eastAsia="隶书"/>
          <w:sz w:val="48"/>
        </w:rPr>
      </w:pPr>
      <w:r>
        <w:rPr>
          <w:rFonts w:hint="eastAsia"/>
          <w:sz w:val="48"/>
        </w:rPr>
        <w:t>（海</w:t>
      </w:r>
      <w:r>
        <w:rPr>
          <w:rFonts w:hint="eastAsia" w:eastAsia="宋体"/>
          <w:sz w:val="48"/>
          <w:lang w:eastAsia="zh-CN"/>
        </w:rPr>
        <w:t>空</w:t>
      </w:r>
      <w:r>
        <w:rPr>
          <w:rFonts w:hint="eastAsia"/>
          <w:sz w:val="48"/>
        </w:rPr>
        <w:t>运进出口）</w:t>
      </w:r>
    </w:p>
    <w:p>
      <w:pPr>
        <w:rPr>
          <w:rFonts w:hint="eastAsia" w:eastAsia="隶书"/>
          <w:sz w:val="32"/>
        </w:rPr>
      </w:pPr>
    </w:p>
    <w:p>
      <w:pPr>
        <w:rPr>
          <w:rFonts w:hint="eastAsia" w:eastAsia="隶书"/>
          <w:sz w:val="32"/>
        </w:rPr>
      </w:pPr>
    </w:p>
    <w:p>
      <w:pPr>
        <w:rPr>
          <w:rFonts w:hint="eastAsia" w:ascii="宋体" w:hAnsi="宋体"/>
          <w:b/>
          <w:bCs/>
          <w:spacing w:val="40"/>
          <w:sz w:val="36"/>
        </w:rPr>
      </w:pPr>
    </w:p>
    <w:p>
      <w:pPr>
        <w:rPr>
          <w:rFonts w:hint="eastAsia" w:eastAsia="隶书"/>
          <w:spacing w:val="40"/>
          <w:sz w:val="84"/>
        </w:rPr>
      </w:pPr>
    </w:p>
    <w:p>
      <w:pPr>
        <w:ind w:firstLine="420"/>
        <w:rPr>
          <w:rFonts w:hint="eastAsia" w:eastAsia="隶书"/>
          <w:spacing w:val="40"/>
          <w:sz w:val="84"/>
        </w:rPr>
      </w:pPr>
      <w:r>
        <w:rPr>
          <w:rFonts w:hint="eastAsia" w:ascii="楷体_GB2312" w:eastAsia="楷体_GB2312"/>
          <w:sz w:val="28"/>
          <w:szCs w:val="28"/>
        </w:rPr>
        <w:t>立协议双方：</w:t>
      </w:r>
    </w:p>
    <w:p>
      <w:pPr>
        <w:rPr>
          <w:rFonts w:hint="eastAsia" w:hAnsi="宋体"/>
          <w:b/>
          <w:bCs/>
          <w:sz w:val="36"/>
          <w:szCs w:val="36"/>
        </w:rPr>
      </w:pPr>
      <w:r>
        <w:rPr>
          <w:rFonts w:eastAsia="隶书"/>
          <w:spacing w:val="40"/>
          <w:sz w:val="84"/>
        </w:rPr>
        <w:sym w:font="Symbol" w:char="F0A8"/>
      </w:r>
      <w:r>
        <w:rPr>
          <w:rFonts w:hint="eastAsia"/>
          <w:b/>
          <w:sz w:val="36"/>
        </w:rPr>
        <w:t>上海</w:t>
      </w:r>
      <w:r>
        <w:rPr>
          <w:rFonts w:hint="eastAsia"/>
          <w:b/>
          <w:sz w:val="36"/>
          <w:lang w:eastAsia="zh-CN"/>
        </w:rPr>
        <w:t>威万国际物流（</w:t>
      </w:r>
      <w:r>
        <w:rPr>
          <w:rFonts w:hint="eastAsia"/>
          <w:b/>
          <w:sz w:val="36"/>
          <w:lang w:val="en-US" w:eastAsia="zh-CN"/>
        </w:rPr>
        <w:t>集团</w:t>
      </w:r>
      <w:r>
        <w:rPr>
          <w:rFonts w:hint="eastAsia"/>
          <w:b/>
          <w:sz w:val="36"/>
          <w:lang w:eastAsia="zh-CN"/>
        </w:rPr>
        <w:t>）</w:t>
      </w:r>
      <w:r>
        <w:rPr>
          <w:rFonts w:hint="eastAsia"/>
          <w:b/>
          <w:sz w:val="36"/>
        </w:rPr>
        <w:t>有限公司</w:t>
      </w:r>
    </w:p>
    <w:p>
      <w:pPr>
        <w:rPr>
          <w:rFonts w:hint="eastAsia" w:eastAsia="宋体"/>
          <w:b/>
          <w:sz w:val="36"/>
          <w:lang w:val="en-US" w:eastAsia="zh-CN"/>
        </w:rPr>
      </w:pPr>
      <w:r>
        <w:rPr>
          <w:rFonts w:eastAsia="隶书"/>
          <w:spacing w:val="40"/>
          <w:sz w:val="84"/>
        </w:rPr>
        <w:sym w:font="Symbol" w:char="F0A8"/>
      </w:r>
    </w:p>
    <w:p>
      <w:pPr>
        <w:ind w:firstLine="420"/>
        <w:rPr>
          <w:rFonts w:hint="eastAsia" w:ascii="楷体_GB2312" w:eastAsia="楷体_GB2312"/>
          <w:sz w:val="24"/>
        </w:rPr>
      </w:pPr>
    </w:p>
    <w:p>
      <w:pPr>
        <w:ind w:firstLine="420"/>
        <w:rPr>
          <w:rFonts w:hint="eastAsia" w:ascii="楷体_GB2312" w:eastAsia="楷体_GB2312"/>
          <w:sz w:val="24"/>
        </w:rPr>
      </w:pPr>
    </w:p>
    <w:p>
      <w:pPr>
        <w:ind w:firstLine="420"/>
        <w:rPr>
          <w:rFonts w:hint="eastAsia" w:ascii="楷体_GB2312" w:eastAsia="楷体_GB2312"/>
          <w:sz w:val="24"/>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00" w:firstLineChars="200"/>
        <w:textAlignment w:val="auto"/>
        <w:rPr>
          <w:rFonts w:hint="eastAsia" w:ascii="宋体" w:hAnsi="宋体" w:eastAsia="宋体" w:cs="宋体"/>
          <w:sz w:val="20"/>
        </w:rPr>
      </w:pP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460" w:firstLineChars="200"/>
        <w:jc w:val="center"/>
        <w:textAlignment w:val="auto"/>
        <w:rPr>
          <w:rFonts w:hint="eastAsia" w:ascii="宋体" w:hAnsi="宋体" w:eastAsia="宋体" w:cs="宋体"/>
          <w:sz w:val="23"/>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right="3656"/>
        <w:jc w:val="center"/>
        <w:textAlignment w:val="auto"/>
        <w:rPr>
          <w:rFonts w:hint="eastAsia" w:ascii="宋体" w:hAnsi="宋体" w:eastAsia="宋体" w:cs="宋体"/>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right="3656"/>
        <w:jc w:val="center"/>
        <w:textAlignment w:val="auto"/>
        <w:rPr>
          <w:rFonts w:hint="eastAsia" w:ascii="宋体" w:hAnsi="宋体" w:eastAsia="宋体" w:cs="宋体"/>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right="3656"/>
        <w:jc w:val="center"/>
        <w:textAlignment w:val="auto"/>
        <w:rPr>
          <w:rFonts w:hint="eastAsia" w:ascii="宋体" w:hAnsi="宋体" w:eastAsia="宋体" w:cs="宋体"/>
        </w:rPr>
      </w:pPr>
    </w:p>
    <w:p>
      <w:pPr>
        <w:pStyle w:val="3"/>
        <w:keepNext w:val="0"/>
        <w:keepLines w:val="0"/>
        <w:pageBreakBefore w:val="0"/>
        <w:widowControl w:val="0"/>
        <w:kinsoku/>
        <w:wordWrap/>
        <w:overflowPunct/>
        <w:topLinePunct w:val="0"/>
        <w:autoSpaceDE w:val="0"/>
        <w:autoSpaceDN w:val="0"/>
        <w:bidi w:val="0"/>
        <w:adjustRightInd/>
        <w:snapToGrid/>
        <w:spacing w:before="9" w:line="360" w:lineRule="auto"/>
        <w:ind w:left="0" w:leftChars="0" w:firstLine="0" w:firstLineChars="0"/>
        <w:textAlignment w:val="auto"/>
        <w:rPr>
          <w:rFonts w:hint="eastAsia" w:ascii="宋体" w:hAnsi="宋体" w:eastAsia="宋体" w:cs="宋体"/>
          <w:sz w:val="25"/>
        </w:rPr>
      </w:pPr>
    </w:p>
    <w:p>
      <w:pPr>
        <w:keepNext w:val="0"/>
        <w:keepLines w:val="0"/>
        <w:pageBreakBefore w:val="0"/>
        <w:widowControl w:val="0"/>
        <w:kinsoku/>
        <w:wordWrap/>
        <w:overflowPunct/>
        <w:topLinePunct w:val="0"/>
        <w:autoSpaceDE w:val="0"/>
        <w:autoSpaceDN w:val="0"/>
        <w:bidi w:val="0"/>
        <w:adjustRightInd/>
        <w:snapToGrid/>
        <w:spacing w:after="0" w:line="360" w:lineRule="auto"/>
        <w:ind w:firstLine="500" w:firstLineChars="200"/>
        <w:textAlignment w:val="auto"/>
        <w:rPr>
          <w:rFonts w:hint="eastAsia" w:ascii="宋体" w:hAnsi="宋体" w:eastAsia="宋体" w:cs="宋体"/>
          <w:sz w:val="25"/>
        </w:rPr>
      </w:pPr>
    </w:p>
    <w:p>
      <w:pPr>
        <w:keepNext w:val="0"/>
        <w:keepLines w:val="0"/>
        <w:pageBreakBefore w:val="0"/>
        <w:widowControl w:val="0"/>
        <w:kinsoku/>
        <w:wordWrap/>
        <w:overflowPunct/>
        <w:topLinePunct w:val="0"/>
        <w:autoSpaceDE w:val="0"/>
        <w:autoSpaceDN w:val="0"/>
        <w:bidi w:val="0"/>
        <w:adjustRightInd/>
        <w:snapToGrid/>
        <w:spacing w:after="0" w:line="360" w:lineRule="auto"/>
        <w:ind w:firstLine="500" w:firstLineChars="200"/>
        <w:textAlignment w:val="auto"/>
        <w:rPr>
          <w:rFonts w:hint="eastAsia" w:ascii="宋体" w:hAnsi="宋体" w:eastAsia="宋体" w:cs="宋体"/>
          <w:sz w:val="25"/>
        </w:rPr>
        <w:sectPr>
          <w:footerReference r:id="rId5" w:type="default"/>
          <w:type w:val="continuous"/>
          <w:pgSz w:w="11910" w:h="16840"/>
          <w:pgMar w:top="1106" w:right="879" w:bottom="1123" w:left="896" w:header="720" w:footer="993" w:gutter="0"/>
          <w:pgNumType w:start="1"/>
          <w:cols w:space="720" w:num="1"/>
        </w:sectPr>
      </w:pPr>
    </w:p>
    <w:p>
      <w:pPr>
        <w:pStyle w:val="3"/>
        <w:keepNext w:val="0"/>
        <w:keepLines w:val="0"/>
        <w:pageBreakBefore w:val="0"/>
        <w:widowControl w:val="0"/>
        <w:kinsoku/>
        <w:wordWrap/>
        <w:overflowPunct/>
        <w:topLinePunct w:val="0"/>
        <w:autoSpaceDE w:val="0"/>
        <w:autoSpaceDN w:val="0"/>
        <w:bidi w:val="0"/>
        <w:adjustRightInd/>
        <w:snapToGrid/>
        <w:spacing w:before="2" w:line="360" w:lineRule="auto"/>
        <w:ind w:left="0" w:leftChars="0" w:firstLine="0" w:firstLineChars="0"/>
        <w:textAlignment w:val="auto"/>
        <w:rPr>
          <w:rFonts w:hint="eastAsia" w:ascii="宋体" w:hAnsi="宋体" w:eastAsia="宋体" w:cs="宋体"/>
          <w:sz w:val="24"/>
          <w:szCs w:val="22"/>
        </w:rPr>
      </w:pP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right="-7775" w:rightChars="-3534" w:firstLine="480" w:firstLineChars="200"/>
        <w:jc w:val="left"/>
        <w:textAlignment w:val="auto"/>
        <w:rPr>
          <w:rFonts w:hint="eastAsia" w:ascii="宋体" w:hAnsi="宋体" w:eastAsia="宋体" w:cs="宋体"/>
          <w:sz w:val="22"/>
          <w:szCs w:val="21"/>
        </w:rPr>
      </w:pPr>
      <w:r>
        <w:rPr>
          <w:rFonts w:hint="eastAsia" w:ascii="宋体" w:hAnsi="宋体" w:eastAsia="宋体" w:cs="宋体"/>
          <w:sz w:val="24"/>
          <w:szCs w:val="22"/>
        </w:rPr>
        <w:t>甲</w:t>
      </w:r>
      <w:r>
        <w:rPr>
          <w:rFonts w:hint="eastAsia" w:ascii="宋体" w:hAnsi="宋体" w:eastAsia="宋体" w:cs="宋体"/>
          <w:sz w:val="24"/>
          <w:szCs w:val="22"/>
        </w:rPr>
        <w:tab/>
      </w:r>
      <w:r>
        <w:rPr>
          <w:rFonts w:hint="eastAsia" w:ascii="宋体" w:hAnsi="宋体" w:eastAsia="宋体" w:cs="宋体"/>
          <w:sz w:val="24"/>
          <w:szCs w:val="22"/>
        </w:rPr>
        <w:t>方：</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right="-7775" w:rightChars="-3534" w:firstLine="480" w:firstLineChars="200"/>
        <w:jc w:val="left"/>
        <w:textAlignment w:val="auto"/>
        <w:rPr>
          <w:rFonts w:hint="eastAsia" w:ascii="宋体" w:hAnsi="宋体" w:eastAsia="宋体" w:cs="宋体"/>
          <w:sz w:val="24"/>
          <w:szCs w:val="22"/>
          <w:lang w:val="en-US" w:eastAsia="zh-CN"/>
        </w:rPr>
      </w:pPr>
      <w:r>
        <w:rPr>
          <w:rFonts w:hint="eastAsia" w:ascii="宋体" w:hAnsi="宋体" w:eastAsia="宋体" w:cs="宋体"/>
          <w:sz w:val="24"/>
          <w:szCs w:val="22"/>
        </w:rPr>
        <w:t>地</w:t>
      </w:r>
      <w:r>
        <w:rPr>
          <w:rFonts w:hint="eastAsia" w:ascii="宋体" w:hAnsi="宋体" w:eastAsia="宋体" w:cs="宋体"/>
          <w:sz w:val="24"/>
          <w:szCs w:val="22"/>
        </w:rPr>
        <w:tab/>
      </w:r>
      <w:r>
        <w:rPr>
          <w:rFonts w:hint="eastAsia" w:ascii="宋体" w:hAnsi="宋体" w:eastAsia="宋体" w:cs="宋体"/>
          <w:sz w:val="24"/>
          <w:szCs w:val="22"/>
        </w:rPr>
        <w:t>址：</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right="-7775" w:rightChars="-3534" w:firstLine="480" w:firstLineChars="200"/>
        <w:jc w:val="left"/>
        <w:textAlignment w:val="auto"/>
        <w:rPr>
          <w:rFonts w:hint="eastAsia" w:ascii="宋体" w:hAnsi="宋体" w:eastAsia="宋体" w:cs="宋体"/>
          <w:sz w:val="24"/>
          <w:szCs w:val="22"/>
          <w:lang w:val="en-US" w:eastAsia="zh-CN"/>
        </w:rPr>
      </w:pPr>
      <w:r>
        <w:rPr>
          <w:rFonts w:hint="eastAsia" w:ascii="宋体" w:hAnsi="宋体" w:eastAsia="宋体" w:cs="宋体"/>
          <w:sz w:val="24"/>
          <w:szCs w:val="22"/>
        </w:rPr>
        <w:t>法人代表：</w:t>
      </w:r>
      <w:r>
        <w:rPr>
          <w:rFonts w:hint="eastAsia" w:ascii="宋体" w:hAnsi="宋体" w:eastAsia="宋体" w:cs="宋体"/>
          <w:sz w:val="24"/>
          <w:szCs w:val="22"/>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 xml:space="preserve">电    话： </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sectPr>
          <w:type w:val="continuous"/>
          <w:pgSz w:w="11910" w:h="16840"/>
          <w:pgMar w:top="590" w:right="612" w:bottom="590" w:left="612" w:header="720" w:footer="720" w:gutter="0"/>
          <w:cols w:equalWidth="0" w:num="2">
            <w:col w:w="9453" w:space="150"/>
            <w:col w:w="1083"/>
          </w:cols>
        </w:sectPr>
      </w:pPr>
      <w:r>
        <w:rPr>
          <w:rFonts w:hint="eastAsia" w:ascii="宋体" w:hAnsi="宋体" w:eastAsia="宋体" w:cs="宋体"/>
          <w:sz w:val="24"/>
          <w:szCs w:val="22"/>
        </w:rPr>
        <w:br w:type="column"/>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rPr>
        <w:t>乙</w:t>
      </w:r>
      <w:r>
        <w:rPr>
          <w:rFonts w:hint="eastAsia" w:ascii="宋体" w:hAnsi="宋体" w:eastAsia="宋体" w:cs="宋体"/>
          <w:sz w:val="24"/>
          <w:szCs w:val="22"/>
        </w:rPr>
        <w:tab/>
      </w:r>
      <w:r>
        <w:rPr>
          <w:rFonts w:hint="eastAsia" w:ascii="宋体" w:hAnsi="宋体" w:eastAsia="宋体" w:cs="宋体"/>
          <w:sz w:val="24"/>
          <w:szCs w:val="22"/>
        </w:rPr>
        <w:t>方：</w:t>
      </w:r>
      <w:r>
        <w:rPr>
          <w:rFonts w:hint="eastAsia" w:ascii="宋体" w:hAnsi="宋体" w:eastAsia="宋体" w:cs="宋体"/>
          <w:sz w:val="24"/>
          <w:szCs w:val="22"/>
          <w:lang w:val="en-US" w:eastAsia="zh-CN"/>
        </w:rPr>
        <w:t>上海威万国际物流（集团）有限公司</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rPr>
        <w:t>地</w:t>
      </w:r>
      <w:r>
        <w:rPr>
          <w:rFonts w:hint="eastAsia" w:ascii="宋体" w:hAnsi="宋体" w:eastAsia="宋体" w:cs="宋体"/>
          <w:sz w:val="24"/>
          <w:szCs w:val="22"/>
        </w:rPr>
        <w:tab/>
      </w:r>
      <w:r>
        <w:rPr>
          <w:rFonts w:hint="eastAsia" w:ascii="宋体" w:hAnsi="宋体" w:eastAsia="宋体" w:cs="宋体"/>
          <w:sz w:val="24"/>
          <w:szCs w:val="22"/>
        </w:rPr>
        <w:t>址：上海市</w:t>
      </w:r>
      <w:r>
        <w:rPr>
          <w:rFonts w:hint="eastAsia" w:ascii="宋体" w:hAnsi="宋体" w:eastAsia="宋体" w:cs="宋体"/>
          <w:sz w:val="24"/>
          <w:szCs w:val="22"/>
          <w:lang w:val="en-US" w:eastAsia="zh-CN"/>
        </w:rPr>
        <w:t>杨浦区平凉路1398号507室</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rPr>
        <w:t>法人代表：</w:t>
      </w:r>
      <w:r>
        <w:rPr>
          <w:rFonts w:hint="eastAsia" w:ascii="宋体" w:hAnsi="宋体" w:eastAsia="宋体" w:cs="宋体"/>
          <w:sz w:val="24"/>
          <w:szCs w:val="22"/>
          <w:lang w:val="en-US" w:eastAsia="zh-CN"/>
        </w:rPr>
        <w:t>刘羽</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rPr>
        <w:t>电</w:t>
      </w:r>
      <w:r>
        <w:rPr>
          <w:rFonts w:hint="eastAsia" w:ascii="宋体" w:hAnsi="宋体" w:eastAsia="宋体" w:cs="宋体"/>
          <w:sz w:val="24"/>
          <w:szCs w:val="22"/>
        </w:rPr>
        <w:tab/>
      </w:r>
      <w:r>
        <w:rPr>
          <w:rFonts w:hint="eastAsia" w:ascii="宋体" w:hAnsi="宋体" w:eastAsia="宋体" w:cs="宋体"/>
          <w:sz w:val="24"/>
          <w:szCs w:val="22"/>
        </w:rPr>
        <w:t>话：021-</w:t>
      </w:r>
      <w:r>
        <w:rPr>
          <w:rFonts w:hint="eastAsia" w:ascii="宋体" w:hAnsi="宋体" w:eastAsia="宋体" w:cs="宋体"/>
          <w:sz w:val="24"/>
          <w:szCs w:val="22"/>
          <w:lang w:val="en-US" w:eastAsia="zh-CN"/>
        </w:rPr>
        <w:t>31599108</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甲乙双方就甲方委托乙方在全国各口岸安排甲方交运的所有进出口货物运输及相关运输附加服务等事宜，本着紧密协作、安全运送、提高经济效益的原则进行了友好协商，按照平等互利的原则，经充分协商，达成如下合同：</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一、在本合同存续期间，甲方将其所有的货物进出口运输业务委托乙方代理。</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二、甲方责任和义务</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1.甲方应提前按乙方提供的货物进/出口委托单(即订舱单)之格式向乙方托运定舱。</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甲方的人员以电子邮件、QQ、微信或其它方式所发出的纸质与非纸质的委托指令均视为甲方向乙方发出的指令，可确认双方的合作关系。</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如果甲方提供的上述资料需要更改应该立即书面通知乙方，否则甲方未尽及时通知的义务，乙方有权利认为</w:t>
      </w:r>
      <w:r>
        <w:rPr>
          <w:rFonts w:hint="eastAsia" w:ascii="宋体" w:hAnsi="宋体" w:eastAsia="宋体" w:cs="宋体"/>
          <w:sz w:val="24"/>
          <w:szCs w:val="22"/>
          <w:lang w:val="en-US" w:eastAsia="zh-CN"/>
        </w:rPr>
        <w:t>甲方人员</w:t>
      </w:r>
      <w:r>
        <w:rPr>
          <w:rFonts w:hint="eastAsia" w:ascii="宋体" w:hAnsi="宋体" w:eastAsia="宋体" w:cs="宋体"/>
          <w:sz w:val="24"/>
          <w:szCs w:val="22"/>
        </w:rPr>
        <w:t>通信方式发出的委托指令，仍然代表甲方向乙方委托代理出运货物，委托指令对甲方有约束力。如有需特殊运输和保管要求的货物，如冷冻货,易腐货,易潮货等，应在货物出口委托单上注明，并将其正式名称和性质以及应当采取的预防注意事项书面通知给乙方。否则由此造成的后果, 均由甲方承担。</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2.甲方如需乙方提供拖车运输服务，应提前备货装箱。如因货物不齐, 报关不及时等原因造成车辆滞留、压夜等，甲方须向乙方支付压车费和相关费用。</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3.如甲方委托乙方报关，甲方应及时将符合海关要求的所有报关单证以及该票货物的买卖合同、发票等报关所需材料及时提供给乙方。如货物须做植检，熏蒸的，甲方应在定舱单中特别注明并提请乙方工作人员注意。</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4.在货物装柜上船后，甲方须于按船公司或我司规定的截单日期之前提供并确认提单资料。若因甲方对提单确认不及时而造成的船期延误或者改报船名/改舱等相关后果，由甲方自行承担。如因特殊原因，甲方在确认后又需更改正本提单或更改放货方式的，应由甲方支付改单费用及船公司要求支付的相关费用。</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5.甲方认可以本合同所附的甲方的签字或盖章之样式进行签署的任何函件/单证(含传真件或复印件)具有约束甲方的法律效用。(甲方的有效签字及签章见本合同附件)</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6.甲方不得利用乙方从事走私、骗汇及多报少出或者少报多出等违法活动。否则，由此引起的一切后果，概由甲方承担。若因此造成乙方经济损失的，甲方须向乙方承担赔偿责任。</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7.就甲方委托乙方代理出运/运输的货物，无论在中转港或是目的港， 一旦发生无人提货的，不论是收货人下落不明、货物清关问题、还是收货人拒绝提货，或者其他非乙方之原因造成的无人提货的情况，由此产生的所有法律责任及费用都由甲方承担。对于目的港不提货案件，乙方通过书面或邮件通知告知甲方后，如果甲方在 7 天工作日内没有书面告知乙方货物的处理方式，乙方为了减少甲方的损失，有权通知实际承运人弃货处理， 所产生的法律责任及费用由甲方承担。</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题述费用包括但不仅限于运费、海关罚款、超期使用费、滞箱费、滞港费、疏港费、清关费、卫检费、码头作业费、处理费、律师费等费用。律师费以乙方实际支付为准。其他费用以乙方垫付金额为准。</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8.就甲方委托乙方代理出运/运输的货物，需要更改提单收货人、更改目的港等情况，必须提供经甲方有效签署的正本保函（担保）给乙方，并且甲方承担因而导致的风险和相关损失。且乙方有权在未取得正本保函的情况下，拒绝甲方的前述要求。</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9.如甲方作为第三人代理人的，则对第三人与托运人的行为承担连带保证责任。甲方除保证货物在目的港能正常交付外，如发生起运港禁止货物出口、因查验、司法限制等原因未能及时出货的，或中转港禁止货物出口、因查验、司法限制等原因未能及时出货的，或目的港禁止货物进口、因查验、司法限制等原因未能及时清关提货的，甲方均应及时对货物处理作出明确指示，防止损失扩大，同时，甲方承担由此引起的包括但不仅限于回运费、转运费、堆存费、超期用箱费、货物处理费、海关罚金等，并承担乙方被第三方追索所发生的包括但不仅限于律师费、差旅费、诉讼费用或仲裁费用。</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10、如发生的费用性质属于船公司或相关主体通过乙方代收代付的， 除本条特别约定中涉及的情况，也包括但不仅限于修箱费、洗箱费、洗船费等船公司主张的相关损失。如甲方持有异议的，由乙方协助甲方沟通， 但甲方不得予以拒付。</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三、乙方的责任和义务</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1.乙方是甲方的货运代理人，负责将甲方托运的货物运至甲方指定目的地。</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2.乙方对甲方托运的货物的责任期间根据每票货物的运输条款界定。若运输条款没有规定，则适用《中华人民共和国海商法》关于运输责任期间的规定。</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3.乙方在接到甲方书面订舱后，应及时通知甲方所预订的船名，航次， 提单号，截关日，开船日等有关信息。</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4.如甲方需要乙方在国内提供拖车服务，乙方应按甲方要求准时到达甲方指定地点装柜。如有特殊原因不能提供拖车服务时，乙方应及时通知甲方。</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5．乙方代理运输甲方货物期间，应妥善地、谨慎地搬移、积载、运输、保管和照料所运货物。若货物在乙方承运期间由于乙方的过错致使货物发生灭失、损坏，甲方因此遭受经济损失的，乙方应按照提单条款以及《中华人民共和国海商法》的等相关法律规定依法向甲方赔偿。甲方的货物上船后发生的责任和义务均由甲方自行承担，上船后产生的任何费用均与乙方无关，乙方对此费用享有追索权。</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leftChars="0" w:firstLine="0" w:firstLineChars="0"/>
        <w:textAlignment w:val="auto"/>
        <w:rPr>
          <w:rFonts w:hint="eastAsia" w:ascii="宋体" w:hAnsi="宋体" w:eastAsia="宋体" w:cs="宋体"/>
          <w:sz w:val="24"/>
          <w:szCs w:val="22"/>
        </w:rPr>
      </w:pPr>
      <w:r>
        <w:rPr>
          <w:rFonts w:hint="eastAsia" w:ascii="宋体" w:hAnsi="宋体" w:eastAsia="宋体" w:cs="宋体"/>
          <w:sz w:val="24"/>
          <w:szCs w:val="22"/>
        </w:rPr>
        <w:t>6．如果甲方要求货物电放给收货人,甲方必须提供经甲方有效签署的正本放货授权书和保函（担保）给乙方。乙方同意后，由乙方通知目的港电放货物。根据甲方要求电放货物而导致的风险和相关损失，应由甲方承担。且乙方有权在未取得正本保函的情况下，拒绝甲方的前述要求。</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凡甲方指令运输的货物的目的港、中转港等为中南美洲国家（包括但不限于巴西、尼加拉瓜、危地马拉、洪都拉斯、萨尔瓦多、哥斯达黎加、多米尼加、委内瑞拉）或适用中南美洲法律、行政法规的各港口，则依据中南美洲国家海关对于进口货物实行单方放货的新政策之规定，乙方不承担由此发生的无单放货的法律责任。</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凡甲方指令运输的货物的目的港、中转港等为中南美洲国家的，乙方不承担在上述国家境内运输过程中由于发生偷盗抢劫或其他犯罪行为而导致货损的责任。</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7．当甲方需将已运抵目的港的货物返运时，在当地港口法规允许及便利操作的前提下，乙方应尽量协助甲方将目的港货物运回起运港或甲方指定其他港口。返运所发生的一切费用（包括海运费），由甲方承担。</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但因目的港具体实际情况不同，除就返运事宜乙方明确承诺外，其他乙方意志外原因造成无法返运的，乙方不负法律责任。即使乙方收取单证、收取运费，也不代表乙方作出承诺的意思表示。</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四、危险货物</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1.“危险货物”系指根据经修正的《1974 年国际海上人命安全公约》第Ⅶ章的定义、分类和《经 1978 年国际防止船舶造成污染公约》附则Ⅲ的规定（防止海运包装有害物质规则），以及受《巴塞尔公约》约束，同时符合《国际海运危险货物规则（IMDG CODE）》的标准，具有爆炸、易燃、毒害、腐蚀、放射性等特性，或虽不在上述文件中列明但同样具有爆炸、易燃、毒害、腐蚀、放射性的，在运输、装卸和储存的过程中，容易对人身造成伤害和对财产造成毁损、对环境造成伤害或损害，而需要特别防护的包装或者固体散装的物质或物品。</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2.“谎报瞒报危险货物”，系指甲方及其代表的托运人、发货人在委托货物运输订舱过程中，无论甲方或托运人是否存在主观故意、隐瞒、未披露或错误申报货物的危险性质的行为。</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3.委托订舱时，甲方应提供货物真实品名，所以化学品均应提供规范格式的产品安全技术说明书（以下简称 MSDS）。如乙方发现甲方有任何疑似瞒报危险货物的迹象，乙方有权要求甲方提供货物的产品说明书、MSDS、照片等资料，甲方同时应保证其承担可能引起的任何损失。</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leftChars="0" w:firstLine="0" w:firstLineChars="0"/>
        <w:textAlignment w:val="auto"/>
        <w:rPr>
          <w:rFonts w:hint="eastAsia" w:ascii="宋体" w:hAnsi="宋体" w:eastAsia="宋体" w:cs="宋体"/>
          <w:sz w:val="24"/>
          <w:szCs w:val="22"/>
        </w:rPr>
      </w:pPr>
      <w:r>
        <w:rPr>
          <w:rFonts w:hint="eastAsia" w:ascii="宋体" w:hAnsi="宋体" w:eastAsia="宋体" w:cs="宋体"/>
          <w:sz w:val="24"/>
          <w:szCs w:val="22"/>
        </w:rPr>
        <w:t>4.甲方及其所代表的托运人、发货人应对谎报瞒报危险货物负有全部法律责任。乙方、船方、承运人及其代理对谎报瞒报危险货物享有充分使之无害的权利，同时享有向甲方及其所代表的托运人、发货人追究由此造成和产生的全部费用及损失的权利。</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5.对于甲方及其所代表的托运人、发货人谎报瞒报危险货物的，乙方、船方、承运人及其代理方有权立刻终止甲方及其所代表的托运人、发货人托运的此票货物和其他所有货物的运输，直至查明货物真实品名及性质， 或留置/退运/拍卖瞒报的危险品货物，且与此有关的全部费用和损失由甲方及其所代表的托运人、发货人承担。甲方及其所代表的托运人、发货人除应赔偿乙方、船方、承运人及其代理方的全部费用及损失外，还应在发现瞒报之日起的 2 个工作日内向乙方、船方、承运人及其代理方支付特殊操作费用，标准为每自然箱（unit）1 万美元。特殊操作费用的收取，并不影响乙方、船方、承运人及其代理方在任何时间、任何地点根据情况需要将货物卸下、销毁或者使之无害而不负赔偿责任的权利，也不影响乙方、船方、承运人及其代理方因谎报瞒报危险货物给公司造成损失而应负担赔偿责任的义务。</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五、结算</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1.结算货币单位为乙方报价时甲方确认所用币种,如需用另外一种货币结算运费,甲方须接受乙方提出的汇率换算。若双方都没有约定时， 则海运费以美元作为结算的货币单位。</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2.甲乙双方本着互惠互利的原则, 同意按以下</w:t>
      </w:r>
      <w:r>
        <w:rPr>
          <w:rFonts w:hint="eastAsia" w:ascii="宋体" w:hAnsi="宋体" w:eastAsia="宋体" w:cs="宋体"/>
          <w:sz w:val="24"/>
          <w:szCs w:val="22"/>
          <w:u w:val="single"/>
        </w:rPr>
        <w:t xml:space="preserve"> </w:t>
      </w:r>
      <w:r>
        <w:rPr>
          <w:rFonts w:hint="eastAsia" w:ascii="宋体" w:hAnsi="宋体" w:eastAsia="宋体" w:cs="宋体"/>
          <w:sz w:val="24"/>
          <w:szCs w:val="22"/>
          <w:u w:val="single"/>
          <w:lang w:val="en-US" w:eastAsia="zh-CN"/>
        </w:rPr>
        <w:t xml:space="preserve">B </w:t>
      </w:r>
      <w:r>
        <w:rPr>
          <w:rFonts w:hint="eastAsia" w:ascii="宋体" w:hAnsi="宋体" w:eastAsia="宋体" w:cs="宋体"/>
          <w:sz w:val="24"/>
          <w:szCs w:val="22"/>
        </w:rPr>
        <w:t>条款对甲乙双方的来往业务进行财务结算。</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A．甲乙双方的财务结算以票结的方式进行,即甲方支付单票全部费用后,乙方才会放货或放单。</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B．甲乙双方的财务结算以月结的方式进行：</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每月</w:t>
      </w:r>
      <w:r>
        <w:rPr>
          <w:rFonts w:hint="eastAsia" w:ascii="宋体" w:hAnsi="宋体" w:eastAsia="宋体" w:cs="宋体"/>
          <w:sz w:val="24"/>
          <w:szCs w:val="22"/>
          <w:lang w:val="en-US" w:eastAsia="zh-CN"/>
        </w:rPr>
        <w:t>19号</w:t>
      </w:r>
      <w:r>
        <w:rPr>
          <w:rFonts w:hint="eastAsia" w:ascii="宋体" w:hAnsi="宋体" w:eastAsia="宋体" w:cs="宋体"/>
          <w:sz w:val="24"/>
          <w:szCs w:val="22"/>
        </w:rPr>
        <w:t>之前，甲方将上月所有业务全部费用一次性支付给乙方。如遇节假日，甲方应提前安排付款。</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结算日期为</w:t>
      </w:r>
      <w:r>
        <w:rPr>
          <w:rFonts w:hint="eastAsia" w:ascii="宋体" w:hAnsi="宋体" w:eastAsia="宋体" w:cs="宋体"/>
          <w:sz w:val="24"/>
          <w:szCs w:val="22"/>
          <w:lang w:val="en-US" w:eastAsia="zh-CN"/>
        </w:rPr>
        <w:t>实际开航</w:t>
      </w:r>
      <w:r>
        <w:rPr>
          <w:rFonts w:hint="eastAsia" w:ascii="宋体" w:hAnsi="宋体" w:eastAsia="宋体" w:cs="宋体"/>
          <w:sz w:val="24"/>
          <w:szCs w:val="22"/>
        </w:rPr>
        <w:t>日后</w:t>
      </w:r>
      <w:r>
        <w:rPr>
          <w:rFonts w:hint="eastAsia" w:ascii="宋体" w:hAnsi="宋体" w:eastAsia="宋体" w:cs="宋体"/>
          <w:sz w:val="24"/>
          <w:szCs w:val="22"/>
          <w:u w:val="single"/>
          <w:lang w:val="en-US" w:eastAsia="zh-CN"/>
        </w:rPr>
        <w:t xml:space="preserve"> 30 </w:t>
      </w:r>
      <w:r>
        <w:rPr>
          <w:rFonts w:hint="eastAsia" w:ascii="宋体" w:hAnsi="宋体" w:eastAsia="宋体" w:cs="宋体"/>
          <w:sz w:val="24"/>
          <w:szCs w:val="22"/>
        </w:rPr>
        <w:t>天</w:t>
      </w:r>
      <w:r>
        <w:rPr>
          <w:rFonts w:hint="eastAsia" w:ascii="宋体" w:hAnsi="宋体" w:eastAsia="宋体" w:cs="宋体"/>
          <w:sz w:val="24"/>
          <w:szCs w:val="22"/>
          <w:lang w:val="en-US" w:eastAsia="zh-CN"/>
        </w:rPr>
        <w:t>内</w:t>
      </w:r>
      <w:r>
        <w:rPr>
          <w:rFonts w:hint="eastAsia" w:ascii="宋体" w:hAnsi="宋体" w:eastAsia="宋体" w:cs="宋体"/>
          <w:sz w:val="24"/>
          <w:szCs w:val="22"/>
        </w:rPr>
        <w:t>，甲方将同期的所有业务全部费用在 3 天内一次性支付给乙方。如遇节假日，甲方应提前安排付款。</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3.无论采取哪种结算方式，乙方给予甲方每结算周期的信用总额度为</w:t>
      </w:r>
      <w:r>
        <w:rPr>
          <w:rFonts w:hint="eastAsia" w:ascii="宋体" w:hAnsi="宋体" w:eastAsia="宋体" w:cs="宋体"/>
          <w:sz w:val="24"/>
          <w:szCs w:val="22"/>
          <w:u w:val="single"/>
        </w:rPr>
        <w:t xml:space="preserve"> 贰万 </w:t>
      </w:r>
      <w:r>
        <w:rPr>
          <w:rFonts w:hint="eastAsia" w:ascii="宋体" w:hAnsi="宋体" w:eastAsia="宋体" w:cs="宋体"/>
          <w:sz w:val="24"/>
          <w:szCs w:val="22"/>
        </w:rPr>
        <w:t xml:space="preserve"> 美元。在结算周期内如甲方应付款项超过乙方给予甲方的上述信用额度时，乙方有权立刻向甲方收取所有欠款。甲方支付欠款后， 后续仍可在该信用额度内按照正常结算周期进行财务结算。</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4．如甲方逾期不付款，乙方有权向甲方收取逾期利息，利率为每天</w:t>
      </w:r>
      <w:r>
        <w:rPr>
          <w:rFonts w:hint="eastAsia" w:ascii="宋体" w:hAnsi="宋体" w:eastAsia="宋体" w:cs="宋体"/>
          <w:sz w:val="24"/>
          <w:szCs w:val="22"/>
          <w:u w:val="single"/>
        </w:rPr>
        <w:t xml:space="preserve"> 0.3</w:t>
      </w:r>
      <w:r>
        <w:rPr>
          <w:rFonts w:hint="eastAsia" w:ascii="宋体" w:hAnsi="宋体" w:eastAsia="宋体" w:cs="宋体"/>
          <w:sz w:val="24"/>
          <w:szCs w:val="22"/>
          <w:u w:val="single"/>
          <w:lang w:val="en-US" w:eastAsia="zh-CN"/>
        </w:rPr>
        <w:t>%</w:t>
      </w:r>
      <w:r>
        <w:rPr>
          <w:rFonts w:hint="eastAsia" w:ascii="宋体" w:hAnsi="宋体" w:eastAsia="宋体" w:cs="宋体"/>
          <w:sz w:val="24"/>
          <w:szCs w:val="22"/>
          <w:u w:val="single"/>
        </w:rPr>
        <w:t xml:space="preserve"> </w:t>
      </w:r>
      <w:r>
        <w:rPr>
          <w:rFonts w:hint="eastAsia" w:ascii="宋体" w:hAnsi="宋体" w:eastAsia="宋体" w:cs="宋体"/>
          <w:sz w:val="24"/>
          <w:szCs w:val="22"/>
        </w:rPr>
        <w:t>。</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5．如果逾期不付款，乙方有权拒绝向甲方签发任何提单或其他海运单据，或拒绝交付任何其他单证，由此引起的一切费用和后果，应由甲方自行承担。</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6.如甲方没有遵守有关结算条款，乙方有权采取一切手段追回甲方所欠款项，包括在装运港和目的港扣留甲方所有的或托运的任何货物</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(含甲方在乙方分公司托运的其他货物),由此引起的一切费用和后果， 应由甲方自行承担。</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六、 终止合同</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在合同执行过程中，甲乙双方应遵循诚实信用原则。如双方有任  何异议，应以友好协商的办法解决，双方协商一致，可以终止本合同。但在下列情形下,乙方有权以书面形式通知甲方终止本合同:</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1.甲方在签订本协议半年内月均委托乙方出运货量未能达到本合同规定的要求.</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2.甲方未能按照本合同中的付款条款支付款项，并且在乙方指定宽限期内仍不能支付款项，或者甲方明确告知乙方不能支付上述款项的。终止合作后，甲方应在 3 个工作日内结清所有费用款项，否则乙方有权拒绝向甲方签发任何提单或其他海运单据，或拒绝交付任何其他单证，由此引起的一切费用和后果，应由甲方自行承担。</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七、 有效期</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本合同经双方合法代表签字盖公司印章后即时生效，本合同复印件与正本同样具有法律效力。有效期为</w:t>
      </w:r>
      <w:r>
        <w:rPr>
          <w:rFonts w:hint="eastAsia" w:ascii="宋体" w:hAnsi="宋体" w:eastAsia="宋体" w:cs="宋体"/>
          <w:sz w:val="24"/>
          <w:szCs w:val="22"/>
          <w:lang w:val="en-US" w:eastAsia="zh-CN"/>
        </w:rPr>
        <w:t>叁</w:t>
      </w:r>
      <w:r>
        <w:rPr>
          <w:rFonts w:hint="eastAsia" w:ascii="宋体" w:hAnsi="宋体" w:eastAsia="宋体" w:cs="宋体"/>
          <w:sz w:val="24"/>
          <w:szCs w:val="22"/>
        </w:rPr>
        <w:t>年（如双方无异议，自动续签</w:t>
      </w:r>
      <w:r>
        <w:rPr>
          <w:rFonts w:hint="eastAsia" w:ascii="宋体" w:hAnsi="宋体" w:eastAsia="宋体" w:cs="宋体"/>
          <w:sz w:val="24"/>
          <w:szCs w:val="22"/>
          <w:lang w:val="en-US" w:eastAsia="zh-CN"/>
        </w:rPr>
        <w:t>叁</w:t>
      </w:r>
      <w:r>
        <w:rPr>
          <w:rFonts w:hint="eastAsia" w:ascii="宋体" w:hAnsi="宋体" w:eastAsia="宋体" w:cs="宋体"/>
          <w:sz w:val="24"/>
          <w:szCs w:val="22"/>
        </w:rPr>
        <w:t>年）。</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八、 争议解决</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 xml:space="preserve">本合同适用中华人民共和国法律，如双方产生法律纠纷并经协商无法达成一致，双方同意交由 </w:t>
      </w:r>
      <w:r>
        <w:rPr>
          <w:rFonts w:hint="eastAsia" w:ascii="宋体" w:hAnsi="宋体" w:eastAsia="宋体" w:cs="宋体"/>
          <w:sz w:val="24"/>
          <w:szCs w:val="22"/>
        </w:rPr>
        <w:tab/>
      </w:r>
      <w:r>
        <w:rPr>
          <w:rFonts w:hint="eastAsia" w:ascii="宋体" w:hAnsi="宋体" w:eastAsia="宋体" w:cs="宋体"/>
          <w:sz w:val="24"/>
          <w:szCs w:val="22"/>
        </w:rPr>
        <w:t>上海</w:t>
      </w:r>
      <w:r>
        <w:rPr>
          <w:rFonts w:hint="eastAsia" w:ascii="宋体" w:hAnsi="宋体" w:eastAsia="宋体" w:cs="宋体"/>
          <w:sz w:val="24"/>
          <w:szCs w:val="22"/>
        </w:rPr>
        <w:tab/>
      </w:r>
      <w:r>
        <w:rPr>
          <w:rFonts w:hint="eastAsia" w:ascii="宋体" w:hAnsi="宋体" w:eastAsia="宋体" w:cs="宋体"/>
          <w:sz w:val="24"/>
          <w:szCs w:val="22"/>
        </w:rPr>
        <w:t>海事法院管辖。</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九、 其他</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本合同中未尽事宜以甲乙双方在具体业务联系中达成的书面文件为准,其他的按行业惯例办理。</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textAlignment w:val="auto"/>
        <w:rPr>
          <w:rFonts w:hint="eastAsia" w:ascii="宋体" w:hAnsi="宋体" w:eastAsia="宋体" w:cs="宋体"/>
          <w:sz w:val="22"/>
          <w:szCs w:val="22"/>
        </w:rPr>
      </w:pPr>
    </w:p>
    <w:p>
      <w:pPr>
        <w:pStyle w:val="3"/>
        <w:keepNext w:val="0"/>
        <w:keepLines w:val="0"/>
        <w:pageBreakBefore w:val="0"/>
        <w:widowControl w:val="0"/>
        <w:kinsoku/>
        <w:wordWrap/>
        <w:overflowPunct/>
        <w:topLinePunct w:val="0"/>
        <w:autoSpaceDE w:val="0"/>
        <w:autoSpaceDN w:val="0"/>
        <w:bidi w:val="0"/>
        <w:adjustRightInd/>
        <w:snapToGrid/>
        <w:spacing w:before="12" w:line="360" w:lineRule="auto"/>
        <w:ind w:left="0" w:firstLine="400" w:firstLineChars="200"/>
        <w:textAlignment w:val="auto"/>
        <w:rPr>
          <w:rFonts w:hint="eastAsia" w:ascii="宋体" w:hAnsi="宋体" w:eastAsia="宋体" w:cs="宋体"/>
          <w:sz w:val="20"/>
          <w:szCs w:val="22"/>
        </w:rPr>
      </w:pPr>
    </w:p>
    <w:p>
      <w:pPr>
        <w:pStyle w:val="3"/>
        <w:keepNext w:val="0"/>
        <w:keepLines w:val="0"/>
        <w:pageBreakBefore w:val="0"/>
        <w:widowControl w:val="0"/>
        <w:tabs>
          <w:tab w:val="left" w:pos="6700"/>
        </w:tabs>
        <w:kinsoku/>
        <w:wordWrap/>
        <w:overflowPunct/>
        <w:topLinePunct w:val="0"/>
        <w:autoSpaceDE w:val="0"/>
        <w:autoSpaceDN w:val="0"/>
        <w:bidi w:val="0"/>
        <w:adjustRightInd/>
        <w:snapToGrid/>
        <w:spacing w:before="1" w:line="360" w:lineRule="auto"/>
        <w:ind w:firstLine="440" w:firstLineChars="200"/>
        <w:textAlignment w:val="auto"/>
        <w:rPr>
          <w:rFonts w:hint="eastAsia" w:ascii="宋体" w:hAnsi="宋体" w:eastAsia="宋体" w:cs="宋体"/>
          <w:sz w:val="22"/>
          <w:szCs w:val="22"/>
        </w:rPr>
        <w:sectPr>
          <w:type w:val="continuous"/>
          <w:pgSz w:w="11910" w:h="16840"/>
          <w:pgMar w:top="590" w:right="612" w:bottom="590" w:left="612" w:header="340" w:footer="907" w:gutter="0"/>
          <w:cols w:space="720" w:num="1"/>
        </w:sectPr>
      </w:pPr>
      <w:r>
        <w:rPr>
          <w:rFonts w:hint="eastAsia" w:ascii="宋体" w:hAnsi="宋体" w:eastAsia="宋体" w:cs="宋体"/>
          <w:sz w:val="22"/>
          <w:szCs w:val="22"/>
        </w:rPr>
        <w:t>甲方：</w:t>
      </w:r>
      <w:r>
        <w:rPr>
          <w:rFonts w:hint="eastAsia" w:asciiTheme="majorEastAsia" w:hAnsiTheme="majorEastAsia" w:eastAsiaTheme="majorEastAsia" w:cstheme="majorEastAsia"/>
          <w:spacing w:val="40"/>
          <w:sz w:val="24"/>
          <w:szCs w:val="6"/>
          <w:lang w:val="en-US" w:eastAsia="zh-CN"/>
        </w:rPr>
        <w:t xml:space="preserve">    </w:t>
      </w:r>
      <w:r>
        <w:rPr>
          <w:rFonts w:hint="eastAsia" w:ascii="宋体" w:hAnsi="宋体" w:eastAsia="宋体" w:cs="宋体"/>
          <w:sz w:val="22"/>
          <w:szCs w:val="22"/>
        </w:rPr>
        <w:t>（盖章）</w:t>
      </w:r>
    </w:p>
    <w:p>
      <w:pPr>
        <w:pStyle w:val="3"/>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sz w:val="22"/>
          <w:szCs w:val="22"/>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sz w:val="22"/>
          <w:szCs w:val="22"/>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乙方：</w:t>
      </w:r>
      <w:r>
        <w:rPr>
          <w:rFonts w:hint="eastAsia" w:ascii="宋体" w:hAnsi="宋体" w:eastAsia="宋体" w:cs="宋体"/>
          <w:sz w:val="22"/>
          <w:szCs w:val="22"/>
          <w:lang w:val="en-US" w:eastAsia="zh-CN"/>
        </w:rPr>
        <w:t xml:space="preserve">上海威万国际物流（集团）有限公司          </w:t>
      </w:r>
      <w:r>
        <w:rPr>
          <w:rFonts w:hint="eastAsia" w:ascii="宋体" w:hAnsi="宋体" w:eastAsia="宋体" w:cs="宋体"/>
          <w:sz w:val="22"/>
          <w:szCs w:val="22"/>
        </w:rPr>
        <w:t>（盖章）</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textAlignment w:val="auto"/>
        <w:rPr>
          <w:rFonts w:hint="eastAsia" w:ascii="宋体" w:hAnsi="宋体" w:eastAsia="宋体" w:cs="宋体"/>
          <w:sz w:val="22"/>
          <w:szCs w:val="22"/>
        </w:rPr>
      </w:pP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480" w:firstLineChars="200"/>
        <w:textAlignment w:val="auto"/>
        <w:rPr>
          <w:rFonts w:hint="eastAsia" w:ascii="宋体" w:hAnsi="宋体" w:eastAsia="宋体" w:cs="宋体"/>
          <w:sz w:val="24"/>
          <w:szCs w:val="22"/>
        </w:rPr>
      </w:pPr>
    </w:p>
    <w:p>
      <w:pPr>
        <w:pStyle w:val="3"/>
        <w:keepNext w:val="0"/>
        <w:keepLines w:val="0"/>
        <w:pageBreakBefore w:val="0"/>
        <w:widowControl w:val="0"/>
        <w:tabs>
          <w:tab w:val="left" w:pos="5860"/>
        </w:tabs>
        <w:kinsoku/>
        <w:wordWrap/>
        <w:overflowPunct/>
        <w:topLinePunct w:val="0"/>
        <w:autoSpaceDE w:val="0"/>
        <w:autoSpaceDN w:val="0"/>
        <w:bidi w:val="0"/>
        <w:adjustRightInd/>
        <w:snapToGrid/>
        <w:spacing w:line="360" w:lineRule="auto"/>
        <w:textAlignment w:val="auto"/>
        <w:rPr>
          <w:rFonts w:hint="eastAsia" w:ascii="宋体" w:hAnsi="宋体" w:eastAsia="宋体" w:cs="宋体"/>
          <w:sz w:val="32"/>
          <w:szCs w:val="22"/>
        </w:rPr>
      </w:pPr>
      <w:r>
        <w:rPr>
          <w:rFonts w:hint="eastAsia" w:ascii="宋体" w:hAnsi="宋体" w:eastAsia="宋体" w:cs="宋体"/>
          <w:w w:val="100"/>
          <w:sz w:val="22"/>
          <w:szCs w:val="22"/>
        </w:rPr>
        <w:t>甲方代</w:t>
      </w:r>
      <w:r>
        <w:rPr>
          <w:rFonts w:hint="eastAsia" w:ascii="宋体" w:hAnsi="宋体" w:eastAsia="宋体" w:cs="宋体"/>
          <w:spacing w:val="-3"/>
          <w:w w:val="100"/>
          <w:sz w:val="22"/>
          <w:szCs w:val="22"/>
        </w:rPr>
        <w:t>表</w:t>
      </w:r>
      <w:r>
        <w:rPr>
          <w:rFonts w:hint="eastAsia" w:ascii="宋体" w:hAnsi="宋体" w:eastAsia="宋体" w:cs="宋体"/>
          <w:spacing w:val="-140"/>
          <w:w w:val="100"/>
          <w:sz w:val="22"/>
          <w:szCs w:val="22"/>
        </w:rPr>
        <w:t>：</w:t>
      </w:r>
      <w:r>
        <w:rPr>
          <w:rFonts w:hint="eastAsia" w:ascii="宋体" w:hAnsi="宋体" w:eastAsia="宋体" w:cs="宋体"/>
          <w:spacing w:val="-3"/>
          <w:w w:val="100"/>
          <w:sz w:val="22"/>
          <w:szCs w:val="22"/>
        </w:rPr>
        <w:t>（</w:t>
      </w:r>
      <w:r>
        <w:rPr>
          <w:rFonts w:hint="eastAsia" w:ascii="宋体" w:hAnsi="宋体" w:eastAsia="宋体" w:cs="宋体"/>
          <w:w w:val="100"/>
          <w:sz w:val="22"/>
          <w:szCs w:val="22"/>
        </w:rPr>
        <w:t>签字）</w:t>
      </w:r>
      <w:r>
        <w:rPr>
          <w:rFonts w:hint="eastAsia" w:ascii="宋体" w:hAnsi="宋体" w:eastAsia="宋体" w:cs="宋体"/>
          <w:sz w:val="22"/>
          <w:szCs w:val="22"/>
        </w:rPr>
        <w:tab/>
      </w:r>
      <w:r>
        <w:rPr>
          <w:rFonts w:hint="eastAsia" w:ascii="宋体" w:hAnsi="宋体" w:eastAsia="宋体" w:cs="宋体"/>
          <w:w w:val="100"/>
          <w:sz w:val="22"/>
          <w:szCs w:val="22"/>
        </w:rPr>
        <w:t>乙方代</w:t>
      </w:r>
      <w:r>
        <w:rPr>
          <w:rFonts w:hint="eastAsia" w:ascii="宋体" w:hAnsi="宋体" w:eastAsia="宋体" w:cs="宋体"/>
          <w:spacing w:val="-3"/>
          <w:w w:val="100"/>
          <w:sz w:val="22"/>
          <w:szCs w:val="22"/>
        </w:rPr>
        <w:t>表</w:t>
      </w:r>
      <w:r>
        <w:rPr>
          <w:rFonts w:hint="eastAsia" w:ascii="宋体" w:hAnsi="宋体" w:eastAsia="宋体" w:cs="宋体"/>
          <w:spacing w:val="-140"/>
          <w:w w:val="100"/>
          <w:sz w:val="22"/>
          <w:szCs w:val="22"/>
        </w:rPr>
        <w:t>：</w:t>
      </w:r>
      <w:r>
        <w:rPr>
          <w:rFonts w:hint="eastAsia" w:ascii="宋体" w:hAnsi="宋体" w:eastAsia="宋体" w:cs="宋体"/>
          <w:w w:val="100"/>
          <w:sz w:val="22"/>
          <w:szCs w:val="22"/>
        </w:rPr>
        <w:t>（</w:t>
      </w:r>
      <w:r>
        <w:rPr>
          <w:rFonts w:hint="eastAsia" w:ascii="宋体" w:hAnsi="宋体" w:eastAsia="宋体" w:cs="宋体"/>
          <w:spacing w:val="-3"/>
          <w:w w:val="100"/>
          <w:sz w:val="22"/>
          <w:szCs w:val="22"/>
        </w:rPr>
        <w:t>签字</w:t>
      </w:r>
      <w:r>
        <w:rPr>
          <w:rFonts w:hint="eastAsia" w:ascii="宋体" w:hAnsi="宋体" w:eastAsia="宋体" w:cs="宋体"/>
          <w:w w:val="100"/>
          <w:sz w:val="22"/>
          <w:szCs w:val="22"/>
        </w:rPr>
        <w:t>）</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0" w:firstLine="1100" w:firstLineChars="500"/>
        <w:textAlignment w:val="auto"/>
        <w:rPr>
          <w:rFonts w:hint="default" w:ascii="宋体" w:hAnsi="宋体" w:eastAsia="宋体" w:cs="宋体"/>
          <w:sz w:val="24"/>
          <w:szCs w:val="22"/>
          <w:lang w:val="en-US"/>
        </w:rPr>
        <w:sectPr>
          <w:type w:val="continuous"/>
          <w:pgSz w:w="11910" w:h="16840"/>
          <w:pgMar w:top="590" w:right="612" w:bottom="590" w:left="612" w:header="720" w:footer="720" w:gutter="0"/>
          <w:cols w:space="720" w:num="1"/>
        </w:sectPr>
      </w:pPr>
      <w:r>
        <w:rPr>
          <w:rFonts w:hint="eastAsia" w:ascii="宋体" w:hAnsi="宋体" w:eastAsia="宋体" w:cs="宋体"/>
          <w:sz w:val="22"/>
          <w:szCs w:val="22"/>
          <w:lang w:val="en-US" w:eastAsia="zh-CN"/>
        </w:rPr>
        <w:t>2023</w:t>
      </w:r>
      <w:r>
        <w:rPr>
          <w:rFonts w:hint="eastAsia" w:ascii="宋体" w:hAnsi="宋体" w:eastAsia="宋体" w:cs="宋体"/>
          <w:sz w:val="22"/>
          <w:szCs w:val="22"/>
        </w:rPr>
        <w:t>年</w:t>
      </w:r>
      <w:r>
        <w:rPr>
          <w:rFonts w:hint="eastAsia" w:ascii="宋体" w:hAnsi="宋体" w:eastAsia="宋体" w:cs="宋体"/>
          <w:sz w:val="22"/>
          <w:szCs w:val="22"/>
          <w:lang w:val="en-US" w:eastAsia="zh-CN"/>
        </w:rPr>
        <w:t>05</w:t>
      </w:r>
      <w:r>
        <w:rPr>
          <w:rFonts w:hint="eastAsia" w:ascii="宋体" w:hAnsi="宋体" w:eastAsia="宋体" w:cs="宋体"/>
          <w:sz w:val="22"/>
          <w:szCs w:val="22"/>
        </w:rPr>
        <w:t>月</w:t>
      </w:r>
      <w:r>
        <w:rPr>
          <w:rFonts w:hint="eastAsia" w:ascii="宋体" w:hAnsi="宋体" w:eastAsia="宋体" w:cs="宋体"/>
          <w:sz w:val="22"/>
          <w:szCs w:val="22"/>
          <w:lang w:val="en-US" w:eastAsia="zh-CN"/>
        </w:rPr>
        <w:t>11</w:t>
      </w:r>
      <w:r>
        <w:rPr>
          <w:rFonts w:hint="eastAsia" w:ascii="宋体" w:hAnsi="宋体" w:eastAsia="宋体" w:cs="宋体"/>
          <w:sz w:val="22"/>
          <w:szCs w:val="22"/>
        </w:rPr>
        <w:t>日</w:t>
      </w:r>
      <w:r>
        <w:rPr>
          <w:rFonts w:hint="eastAsia" w:ascii="宋体" w:hAnsi="宋体" w:eastAsia="宋体" w:cs="宋体"/>
          <w:sz w:val="22"/>
          <w:szCs w:val="22"/>
        </w:rPr>
        <w:tab/>
      </w:r>
      <w:r>
        <w:rPr>
          <w:rFonts w:hint="eastAsia" w:ascii="宋体" w:hAnsi="宋体" w:eastAsia="宋体" w:cs="宋体"/>
          <w:sz w:val="22"/>
          <w:szCs w:val="22"/>
          <w:lang w:val="en-US" w:eastAsia="zh-CN"/>
        </w:rPr>
        <w:t xml:space="preserve">                 2023</w:t>
      </w:r>
      <w:r>
        <w:rPr>
          <w:rFonts w:hint="eastAsia" w:ascii="宋体" w:hAnsi="宋体" w:eastAsia="宋体" w:cs="宋体"/>
          <w:sz w:val="22"/>
          <w:szCs w:val="22"/>
        </w:rPr>
        <w:t>年</w:t>
      </w:r>
      <w:r>
        <w:rPr>
          <w:rFonts w:hint="eastAsia" w:ascii="宋体" w:hAnsi="宋体" w:eastAsia="宋体" w:cs="宋体"/>
          <w:sz w:val="22"/>
          <w:szCs w:val="22"/>
          <w:lang w:val="en-US" w:eastAsia="zh-CN"/>
        </w:rPr>
        <w:t>05</w:t>
      </w:r>
      <w:r>
        <w:rPr>
          <w:rFonts w:hint="eastAsia" w:ascii="宋体" w:hAnsi="宋体" w:eastAsia="宋体" w:cs="宋体"/>
          <w:sz w:val="22"/>
          <w:szCs w:val="22"/>
        </w:rPr>
        <w:t>月</w:t>
      </w:r>
      <w:r>
        <w:rPr>
          <w:rFonts w:hint="eastAsia" w:ascii="宋体" w:hAnsi="宋体" w:eastAsia="宋体" w:cs="宋体"/>
          <w:sz w:val="22"/>
          <w:szCs w:val="22"/>
          <w:lang w:val="en-US" w:eastAsia="zh-CN"/>
        </w:rPr>
        <w:t>11</w:t>
      </w:r>
      <w:bookmarkStart w:id="0" w:name="_GoBack"/>
      <w:bookmarkEnd w:id="0"/>
    </w:p>
    <w:p>
      <w:pPr>
        <w:jc w:val="both"/>
        <w:rPr>
          <w:rFonts w:hint="eastAsia"/>
          <w:lang w:val="zh-CN" w:eastAsia="zh-CN"/>
        </w:rPr>
      </w:pPr>
    </w:p>
    <w:sectPr>
      <w:footerReference r:id="rId6" w:type="default"/>
      <w:pgSz w:w="11910" w:h="16840"/>
      <w:pgMar w:top="1060" w:right="880" w:bottom="1180" w:left="1120" w:header="0" w:footer="99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3768090</wp:posOffset>
              </wp:positionH>
              <wp:positionV relativeFrom="page">
                <wp:posOffset>9902825</wp:posOffset>
              </wp:positionV>
              <wp:extent cx="217805" cy="1809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17805" cy="180975"/>
                      </a:xfrm>
                      <a:prstGeom prst="rect">
                        <a:avLst/>
                      </a:prstGeom>
                      <a:noFill/>
                      <a:ln w="9525">
                        <a:noFill/>
                      </a:ln>
                    </wps:spPr>
                    <wps:txbx>
                      <w:txbxContent>
                        <w:p>
                          <w:pPr>
                            <w:spacing w:before="12"/>
                            <w:ind w:left="20" w:right="0" w:firstLine="0"/>
                            <w:jc w:val="left"/>
                            <w:rPr>
                              <w:rFonts w:ascii="Times New Roman"/>
                              <w:sz w:val="24"/>
                              <w:szCs w:val="24"/>
                            </w:rPr>
                          </w:pPr>
                          <w:r>
                            <w:rPr>
                              <w:rFonts w:hint="eastAsia" w:ascii="黑体" w:hAnsi="黑体" w:eastAsia="黑体" w:cs="黑体"/>
                              <w:sz w:val="18"/>
                            </w:rPr>
                            <w:t xml:space="preserve"> </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ascii="Times New Roman"/>
                              <w:sz w:val="24"/>
                              <w:szCs w:val="24"/>
                            </w:rPr>
                            <w:t xml:space="preserve"> </w:t>
                          </w:r>
                        </w:p>
                        <w:p>
                          <w:pPr>
                            <w:spacing w:before="12"/>
                            <w:ind w:left="20" w:right="0" w:firstLine="0"/>
                            <w:jc w:val="left"/>
                            <w:rPr>
                              <w:rFonts w:ascii="Times New Roman"/>
                              <w:sz w:val="24"/>
                              <w:szCs w:val="24"/>
                            </w:rPr>
                          </w:pPr>
                        </w:p>
                        <w:p>
                          <w:pPr>
                            <w:spacing w:before="12"/>
                            <w:ind w:left="20" w:right="0" w:firstLine="0"/>
                            <w:jc w:val="left"/>
                            <w:rPr>
                              <w:rFonts w:ascii="Times New Roman"/>
                              <w:sz w:val="18"/>
                            </w:rPr>
                          </w:pPr>
                          <w:r>
                            <w:rPr>
                              <w:rFonts w:ascii="Times New Roman"/>
                              <w:sz w:val="18"/>
                            </w:rPr>
                            <w:t>-</w:t>
                          </w:r>
                        </w:p>
                      </w:txbxContent>
                    </wps:txbx>
                    <wps:bodyPr lIns="0" tIns="0" rIns="0" bIns="0" upright="1"/>
                  </wps:wsp>
                </a:graphicData>
              </a:graphic>
            </wp:anchor>
          </w:drawing>
        </mc:Choice>
        <mc:Fallback>
          <w:pict>
            <v:shape id="_x0000_s1026" o:spid="_x0000_s1026" o:spt="202" type="#_x0000_t202" style="position:absolute;left:0pt;margin-left:296.7pt;margin-top:779.75pt;height:14.25pt;width:17.15pt;mso-position-horizontal-relative:page;mso-position-vertical-relative:page;z-index:-251657216;mso-width-relative:page;mso-height-relative:page;" filled="f" stroked="f" coordsize="21600,21600" o:gfxdata="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PWc2nbAAAADQEAAA8AAAAAAAAAAQAgAAAAIgAAAGRycy9kb3du&#10;cmV2LnhtbFBLAQIUABQAAAAIAIdO4kA44ZDXwwEAAHoDAAAOAAAAAAAAAAEAIAAAACoBAABkcnMv&#10;ZTJvRG9jLnhtbFBLBQYAAAAABgAGAFkBAABfBQAAAAA=&#10;">
              <v:fill on="f" focussize="0,0"/>
              <v:stroke on="f"/>
              <v:imagedata o:title=""/>
              <o:lock v:ext="edit" aspectratio="f"/>
              <v:textbox inset="0mm,0mm,0mm,0mm">
                <w:txbxContent>
                  <w:p>
                    <w:pPr>
                      <w:spacing w:before="12"/>
                      <w:ind w:left="20" w:right="0" w:firstLine="0"/>
                      <w:jc w:val="left"/>
                      <w:rPr>
                        <w:rFonts w:ascii="Times New Roman"/>
                        <w:sz w:val="24"/>
                        <w:szCs w:val="24"/>
                      </w:rPr>
                    </w:pPr>
                    <w:r>
                      <w:rPr>
                        <w:rFonts w:hint="eastAsia" w:ascii="黑体" w:hAnsi="黑体" w:eastAsia="黑体" w:cs="黑体"/>
                        <w:sz w:val="18"/>
                      </w:rPr>
                      <w:t xml:space="preserve"> </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ascii="Times New Roman"/>
                        <w:sz w:val="24"/>
                        <w:szCs w:val="24"/>
                      </w:rPr>
                      <w:t xml:space="preserve"> </w:t>
                    </w:r>
                  </w:p>
                  <w:p>
                    <w:pPr>
                      <w:spacing w:before="12"/>
                      <w:ind w:left="20" w:right="0" w:firstLine="0"/>
                      <w:jc w:val="left"/>
                      <w:rPr>
                        <w:rFonts w:ascii="Times New Roman"/>
                        <w:sz w:val="24"/>
                        <w:szCs w:val="24"/>
                      </w:rPr>
                    </w:pPr>
                  </w:p>
                  <w:p>
                    <w:pPr>
                      <w:spacing w:before="12"/>
                      <w:ind w:left="20" w:right="0" w:firstLine="0"/>
                      <w:jc w:val="left"/>
                      <w:rPr>
                        <w:rFonts w:ascii="Times New Roman"/>
                        <w:sz w:val="18"/>
                      </w:rPr>
                    </w:pPr>
                    <w:r>
                      <w:rPr>
                        <w:rFonts w:ascii="Times New Roman"/>
                        <w:sz w:val="18"/>
                      </w:rPr>
                      <w:t>-</w:t>
                    </w:r>
                  </w:p>
                </w:txbxContent>
              </v:textbox>
            </v:shape>
          </w:pict>
        </mc:Fallback>
      </mc:AlternateContent>
    </w:r>
  </w:p>
  <w:p>
    <w:pPr>
      <w:pStyle w:val="3"/>
      <w:spacing w:line="14" w:lineRule="auto"/>
      <w:ind w:left="0"/>
      <w:rPr>
        <w:sz w:val="20"/>
      </w:rPr>
    </w:pPr>
  </w:p>
  <w:p>
    <w:pPr>
      <w:pStyle w:val="3"/>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3749040</wp:posOffset>
              </wp:positionH>
              <wp:positionV relativeFrom="page">
                <wp:posOffset>9921875</wp:posOffset>
              </wp:positionV>
              <wp:extent cx="27432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74320" cy="152400"/>
                      </a:xfrm>
                      <a:prstGeom prst="rect">
                        <a:avLst/>
                      </a:prstGeom>
                      <a:noFill/>
                      <a:ln w="9525">
                        <a:noFill/>
                      </a:ln>
                    </wps:spPr>
                    <wps:txbx>
                      <w:txbxContent>
                        <w:p>
                          <w:pPr>
                            <w:spacing w:before="12"/>
                            <w:ind w:left="20" w:right="0" w:firstLine="0"/>
                            <w:jc w:val="left"/>
                            <w:rPr>
                              <w:rFonts w:ascii="Times New Roman"/>
                              <w:sz w:val="18"/>
                            </w:rPr>
                          </w:pPr>
                          <w:r>
                            <w:rPr>
                              <w:rFonts w:ascii="Times New Roman"/>
                              <w:sz w:val="18"/>
                            </w:rPr>
                            <w:t>- 10 -</w:t>
                          </w:r>
                        </w:p>
                      </w:txbxContent>
                    </wps:txbx>
                    <wps:bodyPr lIns="0" tIns="0" rIns="0" bIns="0" upright="1"/>
                  </wps:wsp>
                </a:graphicData>
              </a:graphic>
            </wp:anchor>
          </w:drawing>
        </mc:Choice>
        <mc:Fallback>
          <w:pict>
            <v:shape id="_x0000_s1026" o:spid="_x0000_s1026" o:spt="202" type="#_x0000_t202" style="position:absolute;left:0pt;margin-left:295.2pt;margin-top:781.25pt;height:12pt;width:21.6pt;mso-position-horizontal-relative:page;mso-position-vertical-relative:page;z-index:-251657216;mso-width-relative:page;mso-height-relative:page;" filled="f" stroked="f" coordsize="21600,21600" o:gfxdata="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chB3jbAAAADQEAAA8AAAAAAAAAAQAgAAAAIgAAAGRycy9kb3du&#10;cmV2LnhtbFBLAQIUABQAAAAIAIdO4kCDe9VdwwEAAHoDAAAOAAAAAAAAAAEAIAAAACoBAABkcnMv&#10;ZTJvRG9jLnhtbFBLBQYAAAAABgAGAFkBAABfBQ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- 10 -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Mzk5YzIzZTVmMWZhNmI3Yjk4YWY2OWFhMTUyYzUifQ=="/>
  </w:docVars>
  <w:rsids>
    <w:rsidRoot w:val="00000000"/>
    <w:rsid w:val="01B12E58"/>
    <w:rsid w:val="05575AC4"/>
    <w:rsid w:val="06090A35"/>
    <w:rsid w:val="082C148A"/>
    <w:rsid w:val="08CC67C9"/>
    <w:rsid w:val="08D8516E"/>
    <w:rsid w:val="0A96708F"/>
    <w:rsid w:val="0C0A1DD0"/>
    <w:rsid w:val="0E043E4F"/>
    <w:rsid w:val="101235E3"/>
    <w:rsid w:val="159D39C7"/>
    <w:rsid w:val="182201B4"/>
    <w:rsid w:val="18554FE6"/>
    <w:rsid w:val="18DA6CE0"/>
    <w:rsid w:val="19221E12"/>
    <w:rsid w:val="192743A1"/>
    <w:rsid w:val="194A5C14"/>
    <w:rsid w:val="1EB17245"/>
    <w:rsid w:val="205B6874"/>
    <w:rsid w:val="20EF2D76"/>
    <w:rsid w:val="23EC202B"/>
    <w:rsid w:val="241847FF"/>
    <w:rsid w:val="24A00A77"/>
    <w:rsid w:val="27892CA8"/>
    <w:rsid w:val="28F87501"/>
    <w:rsid w:val="2A375DDF"/>
    <w:rsid w:val="2B003FF9"/>
    <w:rsid w:val="2B1D7527"/>
    <w:rsid w:val="2BB1150B"/>
    <w:rsid w:val="2D3D75AE"/>
    <w:rsid w:val="2E2959A0"/>
    <w:rsid w:val="2E5C123E"/>
    <w:rsid w:val="2FF96408"/>
    <w:rsid w:val="3AB049E4"/>
    <w:rsid w:val="3BDA477E"/>
    <w:rsid w:val="3EC72A17"/>
    <w:rsid w:val="3F4D34B9"/>
    <w:rsid w:val="42C9741A"/>
    <w:rsid w:val="43F91FD1"/>
    <w:rsid w:val="470367A6"/>
    <w:rsid w:val="479223B1"/>
    <w:rsid w:val="49050275"/>
    <w:rsid w:val="49444710"/>
    <w:rsid w:val="4B511255"/>
    <w:rsid w:val="4BF15DF5"/>
    <w:rsid w:val="52BF28E3"/>
    <w:rsid w:val="547109BF"/>
    <w:rsid w:val="562128B8"/>
    <w:rsid w:val="588E44F6"/>
    <w:rsid w:val="5AC32C83"/>
    <w:rsid w:val="5F2308A9"/>
    <w:rsid w:val="5F4D6E91"/>
    <w:rsid w:val="5F8C61EA"/>
    <w:rsid w:val="5FDB3592"/>
    <w:rsid w:val="60DA06AE"/>
    <w:rsid w:val="617574D0"/>
    <w:rsid w:val="61DF68FA"/>
    <w:rsid w:val="62214605"/>
    <w:rsid w:val="63111AA0"/>
    <w:rsid w:val="63944059"/>
    <w:rsid w:val="63C22AF2"/>
    <w:rsid w:val="64FD5E8F"/>
    <w:rsid w:val="669851BC"/>
    <w:rsid w:val="694540D4"/>
    <w:rsid w:val="69DB1616"/>
    <w:rsid w:val="6A94006A"/>
    <w:rsid w:val="6AAB53B4"/>
    <w:rsid w:val="6B6D6DCF"/>
    <w:rsid w:val="6CCA4A96"/>
    <w:rsid w:val="6E9C1B90"/>
    <w:rsid w:val="6EED4697"/>
    <w:rsid w:val="6FAE006C"/>
    <w:rsid w:val="70CC01C8"/>
    <w:rsid w:val="727D6E33"/>
    <w:rsid w:val="72CE7629"/>
    <w:rsid w:val="73DE2937"/>
    <w:rsid w:val="744961E4"/>
    <w:rsid w:val="76A21CC6"/>
    <w:rsid w:val="78D35A15"/>
    <w:rsid w:val="7A707A80"/>
    <w:rsid w:val="7B7703ED"/>
    <w:rsid w:val="7C3A0345"/>
    <w:rsid w:val="7CF76237"/>
    <w:rsid w:val="7D334EE8"/>
    <w:rsid w:val="7F3A38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Mono CJK JP Regular" w:hAnsi="Noto Sans Mono CJK JP Regular" w:eastAsia="Noto Sans Mono CJK JP Regular" w:cs="Noto Sans Mono CJK JP Regular"/>
      <w:sz w:val="22"/>
      <w:szCs w:val="22"/>
      <w:lang w:val="zh-CN" w:eastAsia="zh-CN" w:bidi="zh-CN"/>
    </w:rPr>
  </w:style>
  <w:style w:type="paragraph" w:styleId="2">
    <w:name w:val="heading 1"/>
    <w:basedOn w:val="1"/>
    <w:next w:val="1"/>
    <w:qFormat/>
    <w:uiPriority w:val="1"/>
    <w:pPr>
      <w:spacing w:line="614" w:lineRule="exact"/>
      <w:ind w:left="2475"/>
      <w:outlineLvl w:val="1"/>
    </w:pPr>
    <w:rPr>
      <w:rFonts w:ascii="Noto Sans Mono CJK JP Regular" w:hAnsi="Noto Sans Mono CJK JP Regular" w:eastAsia="Noto Sans Mono CJK JP Regular" w:cs="Noto Sans Mono CJK JP Regular"/>
      <w:sz w:val="36"/>
      <w:szCs w:val="36"/>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678"/>
    </w:pPr>
    <w:rPr>
      <w:rFonts w:ascii="Noto Sans Mono CJK JP Regular" w:hAnsi="Noto Sans Mono CJK JP Regular" w:eastAsia="Noto Sans Mono CJK JP Regular" w:cs="Noto Sans Mono CJK JP Regular"/>
      <w:sz w:val="28"/>
      <w:szCs w:val="28"/>
      <w:lang w:val="zh-CN" w:eastAsia="zh-CN" w:bidi="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678" w:right="548" w:firstLine="840"/>
    </w:pPr>
    <w:rPr>
      <w:rFonts w:ascii="Noto Sans Mono CJK JP Regular" w:hAnsi="Noto Sans Mono CJK JP Regular" w:eastAsia="Noto Sans Mono CJK JP Regular" w:cs="Noto Sans Mono CJK JP Regular"/>
      <w:u w:val="single" w:color="000000"/>
      <w:lang w:val="zh-CN" w:eastAsia="zh-CN" w:bidi="zh-CN"/>
    </w:rPr>
  </w:style>
  <w:style w:type="paragraph" w:customStyle="1" w:styleId="9">
    <w:name w:val="Table Paragraph"/>
    <w:basedOn w:val="1"/>
    <w:qFormat/>
    <w:uiPriority w:val="1"/>
    <w:rPr>
      <w:rFonts w:ascii="Noto Sans Mono CJK JP Regular" w:hAnsi="Noto Sans Mono CJK JP Regular" w:eastAsia="Noto Sans Mono CJK JP Regular" w:cs="Noto Sans Mono CJK JP Regula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4700</Words>
  <Characters>4779</Characters>
  <TotalTime>11</TotalTime>
  <ScaleCrop>false</ScaleCrop>
  <LinksUpToDate>false</LinksUpToDate>
  <CharactersWithSpaces>4933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2018-05-28T08:31:00Z</dcterms:created>
  <dc:creator>f</dc:creator>
  <cp:lastModifiedBy>周文龙</cp:lastModifiedBy>
  <dcterms:modified xsi:type="dcterms:W3CDTF">2023-08-07T08:05:55Z</dcterms:modified>
  <dc:title>海洋运输合同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2010</vt:lpwstr>
  </property>
  <property fmtid="{D5CDD505-2E9C-101B-9397-08002B2CF9AE}" pid="4" name="LastSaved">
    <vt:filetime>2018-05-28T00:00:00Z</vt:filetime>
  </property>
  <property fmtid="{D5CDD505-2E9C-101B-9397-08002B2CF9AE}" pid="5" name="KSOProductBuildVer">
    <vt:lpwstr>2052-11.1.0.14309</vt:lpwstr>
  </property>
  <property fmtid="{D5CDD505-2E9C-101B-9397-08002B2CF9AE}" pid="6" name="ICV">
    <vt:lpwstr>3299A2295815448E8F6BD6AAEA031D5A</vt:lpwstr>
  </property>
</Properties>
</file>